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BA3" w:rsidRPr="00B57BA3" w:rsidRDefault="00B57BA3" w:rsidP="00B57BA3">
      <w:pPr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B57BA3">
        <w:rPr>
          <w:rFonts w:ascii="Verdana" w:eastAsia="Times New Roman" w:hAnsi="Verdana" w:cs="Times New Roman"/>
          <w:b/>
          <w:bCs/>
          <w:color w:val="000000"/>
          <w:kern w:val="36"/>
          <w:sz w:val="36"/>
          <w:szCs w:val="36"/>
          <w:lang w:eastAsia="ru-RU"/>
        </w:rPr>
        <w:t>4.5. Основные средства и НМА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bookmarkStart w:id="0" w:name="issogl1_4.5.1_аналитический_учет_основны"/>
      <w:r w:rsidRPr="00B57BA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4.5.1. Аналитический учет основных средств</w:t>
      </w:r>
    </w:p>
    <w:bookmarkEnd w:id="0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Справочники, документы и отчеты по учету основных средств содержатся в разделе Основные средства и НМА.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324350"/>
            <wp:effectExtent l="0" t="0" r="0" b="0"/>
            <wp:docPr id="20" name="Рисунок 20" descr="http://its.1c.eu/db/content/buhbel21/src/_img/image321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s.1c.eu/db/content/buhbel21/src/_img/image321.jpg?_=14859601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160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справочнике Основные средства хранятся сведения об инвентарных объектах основных средств, которые не изменяются со временем и не зависят от специфики конкретной организации при постановке объекта на учет: наименование, группа учета основного средства (Здания, Машины и оборудование, Транспортные средства и др. ), сведения об изготовителе и т. п.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Эту информацию об основных средствах нужно внести в справочник перед принятием на учет. На панели навигации элемента справочника можно перейти к следующим объектам: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События ОС организаций – просмотреть события основного средства;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Содержание драгоценных металлов – просмотреть содержание драгоценных металлов в объекте основных средств.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добавления в справочник сведений о группе однотипных объектов основных средств, отличающихся только инвентарными номерами, предназначена форма, вызываемая по кнопке Групповое создание ОС на форме списка справочника.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анализа информации об объектах основных средств предназначены отчеты: Инвентарная книга ОС, Ведомость амортизации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bookmarkStart w:id="1" w:name="_ref224124406"/>
      <w:bookmarkStart w:id="2" w:name="issogl1_4.5.2_поступление_ос"/>
      <w:bookmarkEnd w:id="1"/>
      <w:r w:rsidRPr="00B57BA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4.5.2. Поступление ОС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3" w:name="issogl2_поступление_оборудования"/>
      <w:bookmarkEnd w:id="2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Поступление оборудования</w:t>
      </w:r>
    </w:p>
    <w:bookmarkEnd w:id="3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Поступление оборудования регистрируется документом Поступление товаров и услуг с видом операции Оборудование.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572000"/>
            <wp:effectExtent l="0" t="0" r="0" b="0"/>
            <wp:docPr id="19" name="Рисунок 19" descr="http://its.1c.eu/db/content/buhbel21/src/_img/image323.pn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ts.1c.eu/db/content/buhbel21/src/_img/image323.png?_=14859601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161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Оборудование учитывается на следующих счетах учета: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08.1.1 «Приобретение объектов основных средств» – оборудование и объекты основных средств, не требующие монтажа;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07 «Оборудование к установке и строительные материалы» – оборудование, требующее монтажа.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 Оборудование указывается наименование оборудования, количество, цена, ставка НДС. Счет учета оборудования указывается в графе Счет учета, счет учета НДС – в графе Счет НДС.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проведении документа формируются проводки по дебету счета учета оборудования.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Аналитический учет на счете 07.1 «Оборудование к установке на складе» можно вести по местам хранения с использованием справочника Склады (места хранения) и партиям поступившего оборудования. Стоимость оборудования, требующего монтажа, должна быть отнесена на объект строительства. Для этого используется документ Передача оборудования в монтаж раздела Основные средства и НМА.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3048000"/>
            <wp:effectExtent l="0" t="0" r="0" b="0"/>
            <wp:docPr id="18" name="Рисунок 18" descr="http://its.1c.eu/db/content/buhbel21/src/_img/image325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ts.1c.eu/db/content/buhbel21/src/_img/image325.jpg?_=14859601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162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табличную часть документа вносятся сведения о номенклатуре, передаваемой в монтаж. В результате стоимость этой номенклатуры будет добавлена к стоимости объекта строительства, указанного в шапке документа.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4" w:name="issogl2_поступление_объектов_строительст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Поступление объектов строительства</w:t>
      </w:r>
    </w:p>
    <w:bookmarkEnd w:id="4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Отнесение затрат на объекты строительства осуществляется документом Поступление товаров и услуг с операцией Объекты строительства, а также документом Требование-накладная.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Вложения в объекты строительства регистрируются на субсчете счета 08.1.2 «Строительство объектов основных средств».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 Объекты строительства указывается наименование объекта, статья затрат, сумма, ставка НДС, счет учета объекта строительства, счет учета НДС.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bookmarkStart w:id="5" w:name="_ref322790613"/>
      <w:bookmarkEnd w:id="5"/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686300"/>
            <wp:effectExtent l="0" t="0" r="0" b="0"/>
            <wp:docPr id="17" name="Рисунок 17" descr="http://its.1c.eu/db/content/buhbel21/src/_img/image327.pn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ts.1c.eu/db/content/buhbel21/src/_img/image327.png?_=14859601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163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6" w:name="issogl2_принятие_к_учету_основных_средст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Принятие к учету основных средств</w:t>
      </w:r>
    </w:p>
    <w:bookmarkEnd w:id="6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Под операцией принятия к учету основного средства подразумевается постановка его на учет. Для принятия оборудования или объекта строительства к учету в качестве основного средства используется документ Принятие к учету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документе предусмотрены следующие операции: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Оборудование – принятие к учету оборудования со счетом учета 07.1 или 08.1.1. Если на счете 08 ведется партионный учет, то стоимость каждого основного средства будет равна стоимости одной единицы оборудования согласно списываемым партиям;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Объект строительства – принятие к учету основного средства, стоимость которого формировалась из затрат, отнесенных на объект строительства;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По результатам инвентаризации – принятие на учет объекта, выявленного в результате инвентаризации.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После выбора операции необходимо указать событие Принятие к учету с вводом в эксплуатацию – выбрать значение из справочника События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324350"/>
            <wp:effectExtent l="0" t="0" r="0" b="0"/>
            <wp:docPr id="16" name="Рисунок 16" descr="http://its.1c.eu/db/content/buhbel21/src/_img/image329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s.1c.eu/db/content/buhbel21/src/_img/image329.jpg?_=1485960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164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Одним документом может быть оформлено принятие к учету нескольких однотипных объектов основных средств.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быстрого заполнения табличной части документов однотипными объектами, имеющими одинаковые наименования, необходимо воспользоваться сервисом заполнения по наименованию. Если в табличной части документа выбран хотя бы один объект из группы однотипных объектов, то табличная часть документа будет заполнена всеми объектами, имеющими такое же наименование, по кнопке Заполнить.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каждого основного средсва драгоценные металлы указываются в отдельной табличной части Драгметаллы на закладке Основные средства.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 можно распечатать (форма Акт о приеме-передаче основных средств).</w:t>
      </w:r>
      <w:bookmarkStart w:id="7" w:name="_ref239751681"/>
      <w:bookmarkStart w:id="8" w:name="_ref223265491"/>
      <w:bookmarkEnd w:id="7"/>
      <w:bookmarkEnd w:id="8"/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в документе Принятие к учету ОС выбрана операция Оборудование, то на закладке Основные средства необходимо указать: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наименование оборудования,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склад,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счет учета оборудования.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 указать основное средство из справочника Основные средства. При создании нового элемента справочника необходимо заполнить параметры основного средства: амортизационную группу, группу ОС и т. д.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324350"/>
            <wp:effectExtent l="0" t="0" r="0" b="0"/>
            <wp:docPr id="15" name="Рисунок 15" descr="http://its.1c.eu/db/content/buhbel21/src/_img/image331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ts.1c.eu/db/content/buhbel21/src/_img/image331.jpg?_=14859601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165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 Бухгалтерский учет необходимо заполнить раздел Общие сведения: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указать порядок учета: Начисление амортизации или Стоимость не погашается;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выбрать способ поступления, счет учета основного средства и материально ответственное лицо.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выбран порядок учета Начисление амортизации, то добавляется раздел Параметры начисления амортизации, в котором необходимо заполнить: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счет начисления амортизации;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способ начисления амортизации и параметры, которые зависят от выбранного способа. Если амортизация начисляется пропорционально объему произведенной продукции, то предварительно следует указать объем продукции, произведенной в текущем месяце. Для этого используется документ Выработка ОС;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способ отражения расходов по амортизации;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срок полезного использования в месяцах.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Способ отражения расходов по амортизации выбирается из одноименного справочника.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552950"/>
            <wp:effectExtent l="0" t="0" r="0" b="0"/>
            <wp:docPr id="14" name="Рисунок 14" descr="http://its.1c.eu/db/content/buhbel21/src/_img/image333.pn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ts.1c.eu/db/content/buhbel21/src/_img/image333.png?_=14859601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166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способе отражения расходов необходимо указать счет затрат и объекты аналитического учета. При последующем начислении амортизации эти данные будут проставляться в проводках. Затраты по амортизации основного средства могут быть отнесены по нескольким статьям затрат. Пропорция распределения суммы амортизации между несколькими подразделениями задается в графе К.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основных средств, используемых в производстве с сезонным характером, может быть задан график амортизации, в котором нужно задать коэффициенты распределения годовой суммы амортизации по месяцам. Коэффициент распределения будет учитываться при выполнении регламентной операции начисления амортизации.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начисление амортизации по бухгалтерскому учету начинается одновременно с принятием к учету основного средства, то необходимо установить флажок Начислять амортизацию.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Амортизация начисляется, начиная со следующего месяца после того, в котором был установлен признак начисления амортизации. Например, если для основного средства признак начисления амортизации был установлен в марте, то амортизация будет начисляться только с апреля.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ввод в эксплуатацию осуществляется после принятия к учету, то операцию ввода в эксплуатацию можно оформить документом Изменение состояния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Параметры для расчета амортизации могут быть установлены при принятии к учету основного средства и изменены в дальнейшем документом Изменение параметров начисления амортизации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 Налоговый учет необходимо указать порядок учета: Начисление амортизации, Включение в расходы при принятии к учету или Стоимость не включается в расходы.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324350"/>
            <wp:effectExtent l="0" t="0" r="0" b="0"/>
            <wp:docPr id="13" name="Рисунок 13" descr="http://its.1c.eu/db/content/buhbel21/src/_img/image335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ts.1c.eu/db/content/buhbel21/src/_img/image335.jpg?_=14859601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167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выбран порядок учета Начисление амортизации, то добавляются разделы Параметры начисления амортизации и Инвестиционный вычет.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разделе Параметры начисления амортизации необходимо заполнить: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срок полезного использования в месяцах,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специальный коэффициент.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по объекту основных средств начисляется инвестиционный вычет, то необходимо установить флажок Включить инвестиционный вычет в состав расходов и заполнить процент инвестиционного вычета, счет учета затрат и статью затрат, на которые будет отнесена сумма инвестиционного вычета.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Счет учета и способ начисления амортизации в налоговом учете совпадают с бухгалтерским и указываются на закладке Бухгалтерский учет.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начисление амортизации по налоговому учету начинается одновременно с принятием к учету основного средства, то необходимо установить флажок Начислять амортизацию.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Амортизация начисляется начиная со следующего месяца после того, в котором был установлен признак начисления амортизации.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проведении документа формируются проводки и записи в регистрах учета основных средств.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9" w:name="issogl2_принятие_к_учету_объекта_строите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Принятие к учету объекта строительства</w:t>
      </w:r>
    </w:p>
    <w:bookmarkEnd w:id="9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в документе Принятие к учету ОС выбрана операция Объекты строительства, то на закладке Основные средства необходимо указать: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объект строительства,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счет учета объекта строительства,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стоимость в бухгалтерском и налоговом учете.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 необходимо указать основное средство из справочника Основные средства. При создании нового элемента справочника нужно заполнить карточку основного средства: амортизационную группу, группу ОС и т. д.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Порядок заполнения табличных частей Бухгалтерский учет и Налоговый учет аналогичен порядку заполнения табличных частей для операции Оборудование.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ввод в эксплуатацию осуществляется после принятия к учету, то операцию ввода в эксплуатацию можно оформить документом Изменение состояния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Параметры для расчета амортизации могут быть установлены при принятии к учету основного средства и изменены в дальнейшем с помощью документов Изменение параметров начисления амортизации ОС, Модернизация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bookmarkStart w:id="10" w:name="issogl1_4.5.3_начисление_амортизации_по_"/>
      <w:r w:rsidRPr="00B57BA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4.5.3. Начисление амортизации по основным средствам</w:t>
      </w:r>
    </w:p>
    <w:bookmarkEnd w:id="10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Амортизация по бухгалтерскому и налоговому учету начисляется при выполнении регламентной операции Амортизация основных средств, раздел Учет, налоги, отчетность – Закрытие месяца (см. </w:t>
      </w:r>
      <w:hyperlink r:id="rId13" w:anchor="_ref386899645" w:history="1">
        <w:r w:rsidRPr="00B57BA3">
          <w:rPr>
            <w:rFonts w:ascii="Verdana" w:eastAsia="Times New Roman" w:hAnsi="Verdana" w:cs="Times New Roman"/>
            <w:color w:val="800080"/>
            <w:sz w:val="20"/>
            <w:szCs w:val="20"/>
            <w:u w:val="single"/>
            <w:lang w:eastAsia="ru-RU"/>
          </w:rPr>
          <w:t>здесь</w:t>
        </w:r>
      </w:hyperlink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). Если для основного средства амортизация за месяц была рассчитана до завершения месяца, например, при списании основного средства, то повторное начисление амортизации при регламентной процедуре не выполняется.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bookmarkStart w:id="11" w:name="issogl1_4.5.4_учет_ос"/>
      <w:r w:rsidRPr="00B57BA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4.5.4. Учет ОС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12" w:name="issogl2_перемещение_ос"/>
      <w:bookmarkEnd w:id="11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Перемещение ОС</w:t>
      </w:r>
    </w:p>
    <w:bookmarkEnd w:id="12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 Перемещение ОС предназначен для установки нового значения материально ответственного лица и подразделения для перечня основных средств. А также имеется фозможность отразить проводки по перемещению основных средств на счете 01 «Основные средства» при установке флага Формировать проводки БУ.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000500"/>
            <wp:effectExtent l="0" t="0" r="0" b="0"/>
            <wp:docPr id="12" name="Рисунок 12" descr="http://its.1c.eu/db/content/buhbel21/src/_img/image337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s.1c.eu/db/content/buhbel21/src/_img/image337.jpg?_=14859601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168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13" w:name="issogl2_модернизация_основных_средств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Модернизация основных средств</w:t>
      </w:r>
    </w:p>
    <w:bookmarkEnd w:id="13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Модернизация основных средств отражается документом Модернизация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поле Объект строительства указывается объект строительства, по которому накоплена сумма затрат по модернизации.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 указывается перечень модернизируемых основных средств.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 кнопке Заполнить накопленная сумма модернизации будет списана с объекта строительства и пропорционально отнесена на стоимость основных средств, перечисленных в табличной части.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модернизации могут быть изменены параметры учета основных средств, например, увеличен срок эксплуатации основного средства, а также установлены новые параметры для расчета амортизации. Изменения в содержании драгоценных металлов в результате модернизации отражаются в табличной части Драгметаллы.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3752850"/>
            <wp:effectExtent l="0" t="0" r="0" b="0"/>
            <wp:docPr id="11" name="Рисунок 11" descr="http://its.1c.eu/db/content/buhbel21/src/_img/image339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ts.1c.eu/db/content/buhbel21/src/_img/image339.jpg?_=14859601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169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документе Модернизация ОС предусмотрена возможность указать сумму расходов по инвестиционному вычету в соответствии с Налоговым кодексом  Республики Беларуси отдельно для каждого основного средства.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проведении документа сумма инвестиционного вычета отражается по дебету вспомогательного счета АП «Амортизационная премия и инвестиционный вычет».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 Модернизация ОС можно распечатать (форма Акт о приеме-сдаче отремонтированных, реконструированных, модернизированных объектов основных средств).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bookmarkStart w:id="14" w:name="issogl1_4.5.5_выбытие_основных_средств"/>
      <w:r w:rsidRPr="00B57BA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4.5.5. Выбытие основных средств</w:t>
      </w:r>
    </w:p>
    <w:bookmarkEnd w:id="14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Выбытие основных средств отображается документами: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Передача ОС,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Списание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 Передача ОС предназначен для оформления продажи основных средств.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Документом Списание ОС можно оформить снятие с учета основных средств. Документ предназначен для отражения в учете выбытия основного средства в связи с моральным или физическим износом, а также при ликвидации в связи с чрезвычайной ситуацией.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15" w:name="issogl2_передача_основных_средств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Передача основных средств</w:t>
      </w:r>
    </w:p>
    <w:bookmarkEnd w:id="15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реализации объекта основного средства формируется документ Передача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5429250"/>
            <wp:effectExtent l="0" t="0" r="0" b="0"/>
            <wp:docPr id="10" name="Рисунок 10" descr="http://its.1c.eu/db/content/buhbel21/src/_img/image341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ts.1c.eu/db/content/buhbel21/src/_img/image341.jpg?_=14859601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170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форме документа необходимо указать подразделение, покупателя и договор покупателя, а также событие основного средства.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 выбирается объект основных средств, указывается сумма реализации и ставка НДС, счета учета доходов, расходов и НДС.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проведении документа начисляется амортизация за месяц выбытия, списываются суммы начисленной амортизации, рассчитывается сумма восстановленного инвестиционного вычета, который был ранее включен в затраты. При реализации объекта в учете отражается задолженность по взаиморасчетам.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основании документа Передача ОС пользователь вводит документ Счет-фактура выданный по ссылке Ввести счет-фактуру.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 Передача ОС можно распечатать (форма Акт о приеме-передаче основных средств).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16" w:name="issogl2_списание_основных_средств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Списание основных средств</w:t>
      </w:r>
    </w:p>
    <w:bookmarkEnd w:id="16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снятии с учета объекта основных средств по причине морального или физического износа, а также при ликвидации в связи с чрезвычайной ситуацией формируется документ Списание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210050"/>
            <wp:effectExtent l="0" t="0" r="0" b="0"/>
            <wp:docPr id="9" name="Рисунок 9" descr="http://its.1c.eu/db/content/buhbel21/src/_img/image343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ts.1c.eu/db/content/buhbel21/src/_img/image343.jpg?_=14859601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171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шапке документа указывается: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счет расходов и субконто счета расходов,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событие и причина списания.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табличной части выбирается объект основных средств.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проведении документа начисляется амортизация за месяц выбытия, списывается сумма начисленной амортизации.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 Списание ОС можно распечатать (форма Акт о списании объекта основных средств).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bookmarkStart w:id="17" w:name="issogl1_4.5.6_инвентаризация_основных_ср"/>
      <w:r w:rsidRPr="00B57BA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4.5.6. Инвентаризация основных средств</w:t>
      </w:r>
    </w:p>
    <w:bookmarkEnd w:id="17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отражения инвентаризации основных средств предназначен документ Инвентаризация ОС.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210050"/>
            <wp:effectExtent l="0" t="0" r="0" b="0"/>
            <wp:docPr id="8" name="Рисунок 8" descr="http://its.1c.eu/db/content/buhbel21/src/_img/image345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ts.1c.eu/db/content/buhbel21/src/_img/image345.jpg?_=14859601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172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Табличная часть закладки Основные средства заполняется автоматически по данным учета по кнопке Заполнить. На закладке Дополнительно вводятся сведения о причинах проведения инвентаризации, а также о членах инвентаризационной комиссии.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Из документа Инвентаризация ОС можно распечатать: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приказ о проведении инвентаризации,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инвентаризационную опись,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сличительную ведомость.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проведении документа Инвентаризация ОС проводки не формируются. На основании документа инвентаризации можно ввести следующие документы: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Принятие к учету ОС с видом операции По результатам инвентаризации – для отражения принятия к учету основных средств, по которым в результате инвентаризации выявлен излишек. Такие основные средства по правилам бухгалтерского учета подлежат оприходованию по текущей рыночной стоимости и отнесению на финансовые результаты организаций в качестве прочих доходов;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Списание ОС – для отражения списания основных средств, по которым в результате инвентаризации выявлена недостача. Стоимость списываемых основных средств относится на виновных лиц. Если таковые не установлены либо во взыскании с них отказано судом, стоимость недостающих основных средств списывается на издержки производства и обращения;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Перемещение ОС – для отражения изменения местонахождения основных средств, по которым в результате инвентаризации выявлена недостача в одном подразделении и излишек в другом.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bookmarkStart w:id="18" w:name="issogl1_4.5.7_учет_нма"/>
      <w:r w:rsidRPr="00B57BA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4.5.7. Учет НМА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19" w:name="issogl2_поступление_нематериальных_актив"/>
      <w:bookmarkEnd w:id="18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Поступление нематериальных активов</w:t>
      </w:r>
    </w:p>
    <w:bookmarkEnd w:id="19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Нематериальный актив может быть приобретен у сторонней организации или создан в результате научно-исследовательской, опытно-конструкторской и опытно-технологической работы (далее – НИОКТР), выполненной в организации. В этом случае расходы на выполнение работ включаются в стоимость нематериального актива. К расходам на НИОКТР относятся все фактические расходы, связанные с выполнением работ.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3467100"/>
            <wp:effectExtent l="0" t="0" r="0" b="0"/>
            <wp:docPr id="7" name="Рисунок 7" descr="http://its.1c.eu/db/content/buhbel21/src/_img/image347.pn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ts.1c.eu/db/content/buhbel21/src/_img/image347.png?_=14859601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173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Первоначальная стоимость НМА и НИОКТР определяется на счете 08.4 «Приобретение нематериальных активов» как покупная стоимость объекта с дополнительными расходами на его приобретение и сумма расходов на НИОКТР.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Учет расходов на приобретение НМА отражается документом Поступление НМА. Дополнительные затраты отражаются документом Операция (БУ и НУ) в разделе Учет, налоги, отчетность.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20" w:name="issogl2_принятие_к_учету_нематериальных_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Принятие к учету нематериальных активов</w:t>
      </w:r>
    </w:p>
    <w:bookmarkEnd w:id="20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Принятие к учету НМА отражается в учете после того, как все затраты, связанные с приобретением данного объекта, отражены на соответствующих субсчетах счета 08 «Вложения во внеоборотные активы». Данная операция вводится документом Принятие к учету НМА с видом операции Нематериальный актив.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152900"/>
            <wp:effectExtent l="0" t="0" r="0" b="0"/>
            <wp:docPr id="6" name="Рисунок 6" descr="http://its.1c.eu/db/content/buhbel21/src/_img/image349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ts.1c.eu/db/content/buhbel21/src/_img/image349.jpg?_=14859601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174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 Нематериальный актив необходимо заполнить сведения о НМА и выбрать способ отражения расходов по амортизации из одноименного справочника. В способе отражения расходов необходимо указать счет затрат и объекты аналитического учета. При последующем начислении амортизации эти данные будут проставляться в проводках. Затраты по амортизации могут быть отнесены по нескольким статьям затрат. Пропорция распределения суммы амортизации между несколькими подразделениями задается в графе К.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 Бухгалтерский учет необходимо заполнить раздел Общие сведения: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счет учета;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первоначальная стоимость – рассчитывается автоматически при нажатии Рассчитать;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способ поступления в организацию.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начисление амортизации по бухгалтерскому учету начинается одновременно с принятием к учету основного средства, то необходимо установить флажок Начислять амортизацию.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210050"/>
            <wp:effectExtent l="0" t="0" r="0" b="0"/>
            <wp:docPr id="5" name="Рисунок 5" descr="http://its.1c.eu/db/content/buhbel21/src/_img/image351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ts.1c.eu/db/content/buhbel21/src/_img/image351.jpg?_=14859601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175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флажок Начислять амортизацию установлен, то добавляется раздел Параметры начисления амортизации, в котором необходимо заполнить: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счет начисления амортизации;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способ начисления амортизации и параметры, которые зависят от выбранного способа. Если амортизация начисляется пропорционально объему произведенной продукции, то предварительно следует указать объем продукции, произведенной в текущем месяце. Для этого используется документ Выработка НМА;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срок полезного использования в месяцах.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Амортизация начисляется, начиная со следующего месяца после того, в котором был установлен признак начисления амортизации. Например, если для нематериального актива признак начисления амортизации был установлен в марте, то амортизация будет начисляться только с апреля.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 Налоговый учет кнопка Рассчитать автоматически рассчитывает стоимость нематериального актива по данным налогового учета.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начисление амортизации по налоговому учету начинается одновременно с принятием к учету основного средства, то необходимо установить флажок Начислять амортизацию.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210050"/>
            <wp:effectExtent l="0" t="0" r="0" b="0"/>
            <wp:docPr id="4" name="Рисунок 4" descr="http://its.1c.eu/db/content/buhbel21/src/_img/image353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ts.1c.eu/db/content/buhbel21/src/_img/image353.jpg?_=14859601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176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установлен флажок Начислять амортизацию, то добавляется раздел Параметры амортизации, в котором необходимо указать: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срок полезного использования в месяцах,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понижающий коэффициент.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Счет учета и способ начисления амортизации в налоговом учете совпадают с бухгалтерским и указываются на закладке Бухгалтерский учет.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проведении документа Принятие к учету НМА формируются проводки по списанию первоначальной стоимости объекта с кредита счета учета вложений во внеоборотные активы в дебет счетов учета НМА и расходов на НИОКТР. По умолчанию для этого используются счета 04.1 «Нематериальные активы организации» и 04.2 «Расходы на научно-исследовательские, опытно-конструкторские и технологические работы».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21" w:name="issogl2_принятие_к_учету_ниоктр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Принятие к учету НИОКТР</w:t>
      </w:r>
    </w:p>
    <w:bookmarkEnd w:id="21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Признание расходов на НИОКТР отражается в учете после того, как все затраты, связанные с выполнением НИОКТР, отражены на соответствующем субсчете счета 08 «Вложения во внеоборотные активы». Данная операция вводится документом Принятие к учету НМА с видом операции Расходы на НИОКТР.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 Расходы на НИОКТР необходимо заполнить: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наименование НИОКТР,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счет учета,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способ отражения расходов по амортизации.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210050"/>
            <wp:effectExtent l="0" t="0" r="0" b="0"/>
            <wp:docPr id="3" name="Рисунок 3" descr="http://its.1c.eu/db/content/buhbel21/src/_img/image355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ts.1c.eu/db/content/buhbel21/src/_img/image355.jpg?_=14859601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177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Способ отражения расходов по амортизации выбирается из одноименного справочника.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способе отражения расходов необходимо указать счет затрат и объекты аналитического учета. При последующем начислении амортизации эти данные будут проставляться в проводках. Затраты по амортизации могут быть отнесены по нескольким статьям затрат. Пропорция распределения суммы амортизации между несколькими подразделениями задается в графе К.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 Бухгалтерский учет необходимо заполнить: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счет учета;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первоначальную стоимость – рассчитывается автоматически при нажатии Рассчитать;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установить флажок Списывать расходы и указать срок и способ списания.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На закладке Налоговый учет при необходимости нужно указать сведения для налогового учета НИОКТР.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</w:pPr>
      <w:bookmarkStart w:id="22" w:name="issogl2_выбытие_нематериальных_активов"/>
      <w:r w:rsidRPr="00B57BA3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Выбытие нематериальных активов</w:t>
      </w:r>
    </w:p>
    <w:bookmarkEnd w:id="22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Выбытие нематериальных активов отображается документами: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Передача НМА,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 Списание НМА.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 Передача НМА используется при выбытии НМА, связанном с передачей права его использования.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4314825"/>
            <wp:effectExtent l="0" t="0" r="0" b="9525"/>
            <wp:docPr id="2" name="Рисунок 2" descr="http://its.1c.eu/db/content/buhbel21/src/_img/image357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ts.1c.eu/db/content/buhbel21/src/_img/image357.jpg?_=148596013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178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Документ Списание НМА используется в случае прекращения использования НМА. Документ Списание НМА может применяться для отражения прекращения использования результатов НИОКТР и списания суммы, не отнесенной на расходы по обычным видам деятельности, на прочие расходы.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проведении документов формируются бухгалтерские проводки по списанию стоимости НМА и суммы начисленной амортизации. По умолчанию остаточная стоимость объекта относится на прочие расходы. Конкретный счет учета расходов на списание остаточной стоимости может быть изменен в форме документа.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Расчет остаточной стоимости объекта выполняется при проведении документа автоматически. При этом производится начисление и отражение в учете амортизации объекта за последний месяц использования.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указана ставка НДС, то при проведении документа будет составлена проводка по начислению НДС от остаточной стоимости НМА или НИОКТР.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7620000" cy="3190875"/>
            <wp:effectExtent l="0" t="0" r="0" b="9525"/>
            <wp:docPr id="1" name="Рисунок 1" descr="http://its.1c.eu/db/content/buhbel21/src/_img/image359.jpg?_=1485960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ts.1c.eu/db/content/buhbel21/src/_img/image359.jpg?_=14859601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Рисунок 179</w:t>
      </w:r>
    </w:p>
    <w:p w:rsidR="00B57BA3" w:rsidRPr="00B57BA3" w:rsidRDefault="00B57BA3" w:rsidP="00B57BA3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  <w:bookmarkStart w:id="23" w:name="issogl1_4.5.8_начисление_амортизации_по_"/>
      <w:r w:rsidRPr="00B57BA3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4.5.8. Начисление амортизации по нематериальным активам</w:t>
      </w:r>
    </w:p>
    <w:bookmarkEnd w:id="23"/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Для целей бухгалтерского учета предусмотрены следующие способы начисления амортизации НМА: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линейный,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уменьшаемого остатка,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● пропорционально объему продукции (работ).</w:t>
      </w:r>
      <w:bookmarkStart w:id="24" w:name="_GoBack"/>
      <w:bookmarkEnd w:id="24"/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Если амортизация начисляется пропорционально объему произведенной продукции, то предварительно следует указать объем продукции, произведенной в текущем месяце. Для этого используется документ Выработка НМА.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Расчет суммы амортизации и суммы списания расходов на НИОКТР по бухгалтерскому и налоговому учету производится автоматически при выполнении регламентных операций (раздел Учет, налоги, отчетность – Закрытие месяца).</w:t>
      </w:r>
    </w:p>
    <w:p w:rsidR="00B57BA3" w:rsidRPr="00B57BA3" w:rsidRDefault="00B57BA3" w:rsidP="00B57BA3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57BA3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При расчете амортизации для целей налогового учета допускается использование специального коэффициента, изменяющего ежемесячную норму амортизации. Первоначально коэффициент устанавливается в момент принятия объекта к учету документом Принятие к учету НМА.</w:t>
      </w:r>
    </w:p>
    <w:p w:rsidR="004632DF" w:rsidRDefault="004632DF"/>
    <w:sectPr w:rsidR="00463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839"/>
    <w:rsid w:val="004632DF"/>
    <w:rsid w:val="00A23839"/>
    <w:rsid w:val="00B5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7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7B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57B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7B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7B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7B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00">
    <w:name w:val="paragraph00"/>
    <w:basedOn w:val="a"/>
    <w:rsid w:val="00B5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7BA3"/>
  </w:style>
  <w:style w:type="character" w:customStyle="1" w:styleId="interface0">
    <w:name w:val="interface0"/>
    <w:basedOn w:val="a0"/>
    <w:rsid w:val="00B57BA3"/>
  </w:style>
  <w:style w:type="paragraph" w:customStyle="1" w:styleId="picture">
    <w:name w:val="picture"/>
    <w:basedOn w:val="a"/>
    <w:rsid w:val="00B5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af2"/>
    <w:basedOn w:val="a"/>
    <w:rsid w:val="00B5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15"/>
    <w:basedOn w:val="a"/>
    <w:rsid w:val="00B5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0beforepicture0">
    <w:name w:val="paragraph0beforepicture0"/>
    <w:basedOn w:val="a"/>
    <w:rsid w:val="00B5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57B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7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7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57B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57BA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7B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57B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57BA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paragraph00">
    <w:name w:val="paragraph00"/>
    <w:basedOn w:val="a"/>
    <w:rsid w:val="00B5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7BA3"/>
  </w:style>
  <w:style w:type="character" w:customStyle="1" w:styleId="interface0">
    <w:name w:val="interface0"/>
    <w:basedOn w:val="a0"/>
    <w:rsid w:val="00B57BA3"/>
  </w:style>
  <w:style w:type="paragraph" w:customStyle="1" w:styleId="picture">
    <w:name w:val="picture"/>
    <w:basedOn w:val="a"/>
    <w:rsid w:val="00B5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af2"/>
    <w:basedOn w:val="a"/>
    <w:rsid w:val="00B5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15"/>
    <w:basedOn w:val="a"/>
    <w:rsid w:val="00B5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0beforepicture0">
    <w:name w:val="paragraph0beforepicture0"/>
    <w:basedOn w:val="a"/>
    <w:rsid w:val="00B57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57BA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7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2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its.1c.eu/db/content/buhbel21/src/4.7.%20%D0%B7%D0%B0%D0%B2%D0%B5%D1%80%D1%88%D0%B5%D0%BD%D0%B8%D0%B5%20%D0%BF%D0%B5%D1%80%D0%B8%D0%BE%D0%B4%D0%B0%20%D0%B8%20%D0%BF%D0%BE%D0%B4%D0%B3%D0%BE%D1%82%D0%BE%D0%B2%D0%BA%D0%B0%20%D0%BE%D1%82%D1%87%D0%B5%D1%82%D0%BD%D0%BE%D1%81%D1%82%D0%B8.htm?_=1485960132" TargetMode="External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3363</Words>
  <Characters>19170</Characters>
  <Application>Microsoft Office Word</Application>
  <DocSecurity>0</DocSecurity>
  <Lines>159</Lines>
  <Paragraphs>44</Paragraphs>
  <ScaleCrop>false</ScaleCrop>
  <Company/>
  <LinksUpToDate>false</LinksUpToDate>
  <CharactersWithSpaces>22489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</dc:creator>
  <cp:keywords/>
  <dc:description/>
  <cp:lastModifiedBy>ИН</cp:lastModifiedBy>
  <cp:revision>2</cp:revision>
  <dcterms:created xsi:type="dcterms:W3CDTF">2017-02-21T17:48:00Z</dcterms:created>
  <dcterms:modified xsi:type="dcterms:W3CDTF">2017-02-21T17:48:00Z</dcterms:modified>
</cp:coreProperties>
</file>